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BD089" w14:textId="73C99062" w:rsidR="001B52A7" w:rsidRPr="001B52A7" w:rsidRDefault="001B52A7">
      <w:pPr>
        <w:rPr>
          <w:rFonts w:ascii="Times New Roman" w:hAnsi="Times New Roman"/>
          <w:b/>
          <w:sz w:val="24"/>
          <w:szCs w:val="24"/>
        </w:rPr>
      </w:pPr>
    </w:p>
    <w:p w14:paraId="30B33B7B" w14:textId="4ABB6984" w:rsidR="006D6C1B" w:rsidRPr="006942F2" w:rsidRDefault="006D6C1B" w:rsidP="0003091F">
      <w:pPr>
        <w:jc w:val="center"/>
        <w:rPr>
          <w:rFonts w:ascii="Times New Roman" w:hAnsi="Times New Roman"/>
          <w:b/>
          <w:sz w:val="24"/>
          <w:szCs w:val="24"/>
        </w:rPr>
      </w:pPr>
      <w:r w:rsidRPr="006942F2">
        <w:rPr>
          <w:rFonts w:ascii="Times New Roman" w:hAnsi="Times New Roman"/>
          <w:b/>
          <w:sz w:val="24"/>
          <w:szCs w:val="24"/>
        </w:rPr>
        <w:t>NOTICE TO TAXPAYERS</w:t>
      </w:r>
    </w:p>
    <w:p w14:paraId="66FDA623" w14:textId="0A1469F9" w:rsidR="006D6C1B" w:rsidRPr="006942F2" w:rsidRDefault="006D6C1B" w:rsidP="0003091F">
      <w:pPr>
        <w:jc w:val="center"/>
        <w:rPr>
          <w:rFonts w:ascii="Times New Roman" w:hAnsi="Times New Roman"/>
          <w:b/>
          <w:sz w:val="24"/>
          <w:szCs w:val="24"/>
        </w:rPr>
      </w:pPr>
      <w:r w:rsidRPr="006942F2">
        <w:rPr>
          <w:rFonts w:ascii="Times New Roman" w:hAnsi="Times New Roman"/>
          <w:b/>
          <w:sz w:val="24"/>
          <w:szCs w:val="24"/>
        </w:rPr>
        <w:t>HEARING ON PROPOSED LOCAL INCOME TAX</w:t>
      </w:r>
    </w:p>
    <w:p w14:paraId="1EB19C74" w14:textId="4C322E2D" w:rsidR="006D6C1B" w:rsidRPr="006942F2" w:rsidRDefault="006D6C1B" w:rsidP="0003091F">
      <w:pPr>
        <w:jc w:val="center"/>
        <w:rPr>
          <w:rFonts w:ascii="Times New Roman" w:hAnsi="Times New Roman"/>
          <w:sz w:val="24"/>
          <w:szCs w:val="24"/>
        </w:rPr>
      </w:pPr>
      <w:r w:rsidRPr="006942F2">
        <w:rPr>
          <w:rFonts w:ascii="Times New Roman" w:hAnsi="Times New Roman"/>
          <w:b/>
          <w:sz w:val="24"/>
          <w:szCs w:val="24"/>
        </w:rPr>
        <w:t>ORDINANCE</w:t>
      </w:r>
    </w:p>
    <w:p w14:paraId="1ECBD22E" w14:textId="77777777" w:rsidR="006D6C1B" w:rsidRPr="006942F2" w:rsidRDefault="006D6C1B" w:rsidP="006D6C1B">
      <w:pPr>
        <w:rPr>
          <w:rFonts w:ascii="Times New Roman" w:hAnsi="Times New Roman"/>
          <w:sz w:val="24"/>
          <w:szCs w:val="24"/>
        </w:rPr>
      </w:pPr>
      <w:r w:rsidRPr="006942F2">
        <w:rPr>
          <w:rFonts w:ascii="Times New Roman" w:hAnsi="Times New Roman"/>
          <w:sz w:val="24"/>
          <w:szCs w:val="24"/>
        </w:rPr>
        <w:tab/>
      </w:r>
    </w:p>
    <w:p w14:paraId="28C4029E" w14:textId="218C7B2A" w:rsidR="006D6C1B" w:rsidRPr="006942F2" w:rsidRDefault="006D6C1B" w:rsidP="006D6C1B">
      <w:pPr>
        <w:rPr>
          <w:rFonts w:ascii="Times New Roman" w:hAnsi="Times New Roman"/>
          <w:sz w:val="24"/>
          <w:szCs w:val="24"/>
        </w:rPr>
      </w:pPr>
      <w:r w:rsidRPr="006942F2">
        <w:rPr>
          <w:rFonts w:ascii="Times New Roman" w:hAnsi="Times New Roman"/>
          <w:sz w:val="24"/>
          <w:szCs w:val="24"/>
        </w:rPr>
        <w:t xml:space="preserve">Notice is hereby given to the taxpayers of </w:t>
      </w:r>
      <w:r w:rsidR="00A83464">
        <w:rPr>
          <w:rFonts w:ascii="Times New Roman" w:hAnsi="Times New Roman"/>
          <w:sz w:val="24"/>
          <w:szCs w:val="24"/>
        </w:rPr>
        <w:t xml:space="preserve"> the County Unit, Morgan</w:t>
      </w:r>
      <w:r w:rsidRPr="006942F2">
        <w:rPr>
          <w:rFonts w:ascii="Times New Roman" w:hAnsi="Times New Roman"/>
          <w:sz w:val="24"/>
          <w:szCs w:val="24"/>
        </w:rPr>
        <w:t xml:space="preserve"> County, Indiana, that the </w:t>
      </w:r>
      <w:r w:rsidR="00A83464">
        <w:rPr>
          <w:rFonts w:ascii="Times New Roman" w:hAnsi="Times New Roman"/>
          <w:sz w:val="24"/>
          <w:szCs w:val="24"/>
        </w:rPr>
        <w:t xml:space="preserve">County Council </w:t>
      </w:r>
      <w:r w:rsidRPr="006942F2">
        <w:rPr>
          <w:rFonts w:ascii="Times New Roman" w:hAnsi="Times New Roman"/>
          <w:sz w:val="24"/>
          <w:szCs w:val="24"/>
        </w:rPr>
        <w:t xml:space="preserve">will consider at </w:t>
      </w:r>
      <w:r w:rsidR="00A83464">
        <w:rPr>
          <w:rFonts w:ascii="Times New Roman" w:hAnsi="Times New Roman"/>
          <w:sz w:val="24"/>
          <w:szCs w:val="24"/>
        </w:rPr>
        <w:t xml:space="preserve">the Lucille Sadler Room, County Administration Building, 180 South Main, Martinsville, IN 46151 </w:t>
      </w:r>
      <w:r w:rsidRPr="006942F2">
        <w:rPr>
          <w:rFonts w:ascii="Times New Roman" w:hAnsi="Times New Roman"/>
          <w:sz w:val="24"/>
          <w:szCs w:val="24"/>
        </w:rPr>
        <w:t xml:space="preserve">at </w:t>
      </w:r>
      <w:r w:rsidR="00A83464">
        <w:rPr>
          <w:rFonts w:ascii="Times New Roman" w:hAnsi="Times New Roman"/>
          <w:sz w:val="24"/>
          <w:szCs w:val="24"/>
        </w:rPr>
        <w:t>7:00</w:t>
      </w:r>
      <w:r w:rsidRPr="006942F2">
        <w:rPr>
          <w:rFonts w:ascii="Times New Roman" w:hAnsi="Times New Roman"/>
          <w:sz w:val="24"/>
          <w:szCs w:val="24"/>
        </w:rPr>
        <w:t xml:space="preserve"> o’clock pm on </w:t>
      </w:r>
      <w:r w:rsidR="00A83464">
        <w:rPr>
          <w:rFonts w:ascii="Times New Roman" w:hAnsi="Times New Roman"/>
          <w:sz w:val="24"/>
          <w:szCs w:val="24"/>
        </w:rPr>
        <w:t>March 7</w:t>
      </w:r>
      <w:r w:rsidRPr="006942F2">
        <w:rPr>
          <w:rFonts w:ascii="Times New Roman" w:hAnsi="Times New Roman"/>
          <w:sz w:val="24"/>
          <w:szCs w:val="24"/>
        </w:rPr>
        <w:t>, 20</w:t>
      </w:r>
      <w:r w:rsidR="004143FA" w:rsidRPr="006942F2">
        <w:rPr>
          <w:rFonts w:ascii="Times New Roman" w:hAnsi="Times New Roman"/>
          <w:sz w:val="24"/>
          <w:szCs w:val="24"/>
        </w:rPr>
        <w:t>2</w:t>
      </w:r>
      <w:r w:rsidR="00A83464">
        <w:rPr>
          <w:rFonts w:ascii="Times New Roman" w:hAnsi="Times New Roman"/>
          <w:sz w:val="24"/>
          <w:szCs w:val="24"/>
        </w:rPr>
        <w:t>2</w:t>
      </w:r>
      <w:r w:rsidRPr="006942F2">
        <w:rPr>
          <w:rFonts w:ascii="Times New Roman" w:hAnsi="Times New Roman"/>
          <w:sz w:val="24"/>
          <w:szCs w:val="24"/>
        </w:rPr>
        <w:t>, the following</w:t>
      </w:r>
      <w:r w:rsidR="00A83464">
        <w:rPr>
          <w:rFonts w:ascii="Times New Roman" w:hAnsi="Times New Roman"/>
          <w:sz w:val="24"/>
          <w:szCs w:val="24"/>
        </w:rPr>
        <w:t xml:space="preserve"> p</w:t>
      </w:r>
      <w:r w:rsidRPr="006942F2">
        <w:rPr>
          <w:rFonts w:ascii="Times New Roman" w:hAnsi="Times New Roman"/>
          <w:sz w:val="24"/>
          <w:szCs w:val="24"/>
        </w:rPr>
        <w:t xml:space="preserve">roposed ordinance regarding the local income tax imposed within </w:t>
      </w:r>
      <w:r w:rsidR="00A83464">
        <w:rPr>
          <w:rFonts w:ascii="Times New Roman" w:hAnsi="Times New Roman"/>
          <w:sz w:val="24"/>
          <w:szCs w:val="24"/>
        </w:rPr>
        <w:t>Morgan</w:t>
      </w:r>
      <w:r w:rsidRPr="006942F2">
        <w:rPr>
          <w:rFonts w:ascii="Times New Roman" w:hAnsi="Times New Roman"/>
          <w:sz w:val="24"/>
          <w:szCs w:val="24"/>
        </w:rPr>
        <w:t xml:space="preserve"> County.</w:t>
      </w:r>
    </w:p>
    <w:p w14:paraId="7F69CE88" w14:textId="77777777" w:rsidR="005F444F" w:rsidRDefault="005F444F" w:rsidP="005F444F">
      <w:pPr>
        <w:jc w:val="center"/>
        <w:rPr>
          <w:rFonts w:ascii="Times New Roman" w:hAnsi="Times New Roman"/>
          <w:b/>
          <w:sz w:val="24"/>
          <w:szCs w:val="24"/>
        </w:rPr>
      </w:pPr>
    </w:p>
    <w:p w14:paraId="42CD991D" w14:textId="4817E83D" w:rsidR="005F444F" w:rsidRPr="006942F2" w:rsidRDefault="005F444F" w:rsidP="005F444F">
      <w:pPr>
        <w:jc w:val="center"/>
        <w:rPr>
          <w:rFonts w:ascii="Times New Roman" w:hAnsi="Times New Roman"/>
          <w:b/>
          <w:sz w:val="24"/>
          <w:szCs w:val="24"/>
        </w:rPr>
      </w:pPr>
      <w:r>
        <w:rPr>
          <w:rFonts w:ascii="Times New Roman" w:hAnsi="Times New Roman"/>
          <w:b/>
          <w:sz w:val="24"/>
          <w:szCs w:val="24"/>
        </w:rPr>
        <w:t xml:space="preserve">PROPOSED </w:t>
      </w:r>
      <w:r w:rsidRPr="006942F2">
        <w:rPr>
          <w:rFonts w:ascii="Times New Roman" w:hAnsi="Times New Roman"/>
          <w:b/>
          <w:sz w:val="24"/>
          <w:szCs w:val="24"/>
        </w:rPr>
        <w:t xml:space="preserve">ORDINANCE MODIFYING </w:t>
      </w:r>
      <w:r>
        <w:rPr>
          <w:rFonts w:ascii="Times New Roman" w:hAnsi="Times New Roman"/>
          <w:b/>
          <w:sz w:val="24"/>
          <w:szCs w:val="24"/>
        </w:rPr>
        <w:t xml:space="preserve">MORGAN COUNTY </w:t>
      </w:r>
      <w:r w:rsidRPr="006942F2">
        <w:rPr>
          <w:rFonts w:ascii="Times New Roman" w:hAnsi="Times New Roman"/>
          <w:b/>
          <w:sz w:val="24"/>
          <w:szCs w:val="24"/>
        </w:rPr>
        <w:t>LOCAL INCOME TAX RATES</w:t>
      </w:r>
    </w:p>
    <w:p w14:paraId="60CCAF32" w14:textId="77777777" w:rsidR="005F444F" w:rsidRPr="006942F2" w:rsidRDefault="005F444F" w:rsidP="005F444F">
      <w:pPr>
        <w:jc w:val="center"/>
        <w:rPr>
          <w:rFonts w:ascii="Times New Roman" w:hAnsi="Times New Roman"/>
          <w:b/>
          <w:sz w:val="24"/>
          <w:szCs w:val="24"/>
        </w:rPr>
      </w:pPr>
    </w:p>
    <w:p w14:paraId="2769EA7B" w14:textId="77777777" w:rsidR="005F444F" w:rsidRPr="006942F2" w:rsidRDefault="005F444F" w:rsidP="005F444F">
      <w:pPr>
        <w:rPr>
          <w:rFonts w:ascii="Times New Roman" w:hAnsi="Times New Roman"/>
          <w:sz w:val="24"/>
          <w:szCs w:val="24"/>
        </w:rPr>
      </w:pPr>
      <w:r w:rsidRPr="006942F2">
        <w:rPr>
          <w:rFonts w:ascii="Times New Roman" w:hAnsi="Times New Roman"/>
          <w:b/>
          <w:sz w:val="24"/>
          <w:szCs w:val="24"/>
        </w:rPr>
        <w:t xml:space="preserve">BE IT ORDAINED </w:t>
      </w:r>
      <w:r w:rsidRPr="006942F2">
        <w:rPr>
          <w:rFonts w:ascii="Times New Roman" w:hAnsi="Times New Roman"/>
          <w:sz w:val="24"/>
          <w:szCs w:val="24"/>
        </w:rPr>
        <w:t xml:space="preserve">by the </w:t>
      </w:r>
      <w:r>
        <w:rPr>
          <w:rFonts w:ascii="Times New Roman" w:hAnsi="Times New Roman"/>
          <w:sz w:val="24"/>
          <w:szCs w:val="24"/>
        </w:rPr>
        <w:t>County Council</w:t>
      </w:r>
      <w:r w:rsidRPr="006942F2">
        <w:rPr>
          <w:rFonts w:ascii="Times New Roman" w:hAnsi="Times New Roman"/>
          <w:sz w:val="24"/>
          <w:szCs w:val="24"/>
        </w:rPr>
        <w:t xml:space="preserve"> of </w:t>
      </w:r>
      <w:r>
        <w:rPr>
          <w:rFonts w:ascii="Times New Roman" w:hAnsi="Times New Roman"/>
          <w:sz w:val="24"/>
          <w:szCs w:val="24"/>
        </w:rPr>
        <w:t xml:space="preserve">Morgan County </w:t>
      </w:r>
      <w:r w:rsidRPr="006942F2">
        <w:rPr>
          <w:rFonts w:ascii="Times New Roman" w:hAnsi="Times New Roman"/>
          <w:sz w:val="24"/>
          <w:szCs w:val="24"/>
        </w:rPr>
        <w:t>that a need now exists to modify the local income tax rates imposed in the following way:</w:t>
      </w:r>
    </w:p>
    <w:p w14:paraId="255537F1" w14:textId="77777777" w:rsidR="005F444F" w:rsidRPr="006942F2" w:rsidRDefault="005F444F" w:rsidP="005F444F">
      <w:pPr>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4770"/>
        <w:gridCol w:w="2097"/>
        <w:gridCol w:w="2223"/>
      </w:tblGrid>
      <w:tr w:rsidR="005F444F" w:rsidRPr="006942F2" w14:paraId="23E16C97" w14:textId="77777777" w:rsidTr="00E27FF7">
        <w:tc>
          <w:tcPr>
            <w:tcW w:w="4770" w:type="dxa"/>
            <w:vAlign w:val="bottom"/>
          </w:tcPr>
          <w:p w14:paraId="514FE86C"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Allocation Rate Category</w:t>
            </w:r>
          </w:p>
        </w:tc>
        <w:tc>
          <w:tcPr>
            <w:tcW w:w="2097" w:type="dxa"/>
            <w:vAlign w:val="bottom"/>
          </w:tcPr>
          <w:p w14:paraId="01946934"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Existing LIT Rate</w:t>
            </w:r>
          </w:p>
        </w:tc>
        <w:tc>
          <w:tcPr>
            <w:tcW w:w="2223" w:type="dxa"/>
            <w:vAlign w:val="bottom"/>
          </w:tcPr>
          <w:p w14:paraId="3594ADEF"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Proposed LIT Rate</w:t>
            </w:r>
          </w:p>
        </w:tc>
      </w:tr>
      <w:tr w:rsidR="005F444F" w:rsidRPr="006942F2" w14:paraId="60C303DC" w14:textId="77777777" w:rsidTr="00E27FF7">
        <w:tc>
          <w:tcPr>
            <w:tcW w:w="4770" w:type="dxa"/>
          </w:tcPr>
          <w:p w14:paraId="1A0F95BB"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Certified Shares (Ind. Code § 6-3.6-6)</w:t>
            </w:r>
          </w:p>
        </w:tc>
        <w:tc>
          <w:tcPr>
            <w:tcW w:w="2097" w:type="dxa"/>
          </w:tcPr>
          <w:p w14:paraId="62EFD53D"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1.268</w:t>
            </w:r>
            <w:r w:rsidRPr="006942F2">
              <w:rPr>
                <w:rFonts w:ascii="Times New Roman" w:hAnsi="Times New Roman"/>
                <w:sz w:val="24"/>
                <w:szCs w:val="24"/>
              </w:rPr>
              <w:t>%</w:t>
            </w:r>
          </w:p>
        </w:tc>
        <w:tc>
          <w:tcPr>
            <w:tcW w:w="2223" w:type="dxa"/>
          </w:tcPr>
          <w:p w14:paraId="25D468BE"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1.218</w:t>
            </w:r>
            <w:r w:rsidRPr="006942F2">
              <w:rPr>
                <w:rFonts w:ascii="Times New Roman" w:hAnsi="Times New Roman"/>
                <w:sz w:val="24"/>
                <w:szCs w:val="24"/>
              </w:rPr>
              <w:t>%</w:t>
            </w:r>
          </w:p>
        </w:tc>
      </w:tr>
      <w:tr w:rsidR="005F444F" w:rsidRPr="006942F2" w14:paraId="2EA9E1EB" w14:textId="77777777" w:rsidTr="00E27FF7">
        <w:tc>
          <w:tcPr>
            <w:tcW w:w="4770" w:type="dxa"/>
          </w:tcPr>
          <w:p w14:paraId="3477E9A9"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Public Safety (Ind. Code § 6-3.6-6)</w:t>
            </w:r>
          </w:p>
        </w:tc>
        <w:tc>
          <w:tcPr>
            <w:tcW w:w="2097" w:type="dxa"/>
          </w:tcPr>
          <w:p w14:paraId="774BD0F5"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0.250</w:t>
            </w:r>
            <w:r w:rsidRPr="006942F2">
              <w:rPr>
                <w:rFonts w:ascii="Times New Roman" w:hAnsi="Times New Roman"/>
                <w:sz w:val="24"/>
                <w:szCs w:val="24"/>
              </w:rPr>
              <w:t>%</w:t>
            </w:r>
          </w:p>
        </w:tc>
        <w:tc>
          <w:tcPr>
            <w:tcW w:w="2223" w:type="dxa"/>
          </w:tcPr>
          <w:p w14:paraId="329C3BAB"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0.300</w:t>
            </w:r>
            <w:r w:rsidRPr="006942F2">
              <w:rPr>
                <w:rFonts w:ascii="Times New Roman" w:hAnsi="Times New Roman"/>
                <w:sz w:val="24"/>
                <w:szCs w:val="24"/>
              </w:rPr>
              <w:t>%</w:t>
            </w:r>
          </w:p>
        </w:tc>
      </w:tr>
      <w:tr w:rsidR="005F444F" w:rsidRPr="006942F2" w14:paraId="507764D9" w14:textId="77777777" w:rsidTr="00E27FF7">
        <w:tc>
          <w:tcPr>
            <w:tcW w:w="4770" w:type="dxa"/>
          </w:tcPr>
          <w:p w14:paraId="464CC332" w14:textId="77777777" w:rsidR="005F444F" w:rsidRPr="006942F2" w:rsidRDefault="005F444F" w:rsidP="00E27FF7">
            <w:pPr>
              <w:rPr>
                <w:rFonts w:ascii="Times New Roman" w:hAnsi="Times New Roman"/>
                <w:b/>
                <w:sz w:val="24"/>
                <w:szCs w:val="24"/>
              </w:rPr>
            </w:pPr>
            <w:r w:rsidRPr="006942F2">
              <w:rPr>
                <w:rFonts w:ascii="Times New Roman" w:hAnsi="Times New Roman"/>
                <w:sz w:val="24"/>
                <w:szCs w:val="24"/>
              </w:rPr>
              <w:t>Economic Development (Ind. Code § 6-3.6-6)</w:t>
            </w:r>
          </w:p>
        </w:tc>
        <w:tc>
          <w:tcPr>
            <w:tcW w:w="2097" w:type="dxa"/>
          </w:tcPr>
          <w:p w14:paraId="09E9324E"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0.200</w:t>
            </w:r>
            <w:r w:rsidRPr="006942F2">
              <w:rPr>
                <w:rFonts w:ascii="Times New Roman" w:hAnsi="Times New Roman"/>
                <w:sz w:val="24"/>
                <w:szCs w:val="24"/>
              </w:rPr>
              <w:t>%</w:t>
            </w:r>
          </w:p>
        </w:tc>
        <w:tc>
          <w:tcPr>
            <w:tcW w:w="2223" w:type="dxa"/>
          </w:tcPr>
          <w:p w14:paraId="523B8558"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0.200</w:t>
            </w:r>
            <w:r w:rsidRPr="006942F2">
              <w:rPr>
                <w:rFonts w:ascii="Times New Roman" w:hAnsi="Times New Roman"/>
                <w:sz w:val="24"/>
                <w:szCs w:val="24"/>
              </w:rPr>
              <w:t>%</w:t>
            </w:r>
          </w:p>
        </w:tc>
      </w:tr>
      <w:tr w:rsidR="005F444F" w:rsidRPr="006942F2" w14:paraId="78DF7623" w14:textId="77777777" w:rsidTr="00E27FF7">
        <w:tc>
          <w:tcPr>
            <w:tcW w:w="4770" w:type="dxa"/>
          </w:tcPr>
          <w:p w14:paraId="0F64B78B"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Property Tax Relief Rate</w:t>
            </w:r>
            <w:r w:rsidRPr="006942F2">
              <w:rPr>
                <w:rFonts w:ascii="Times New Roman" w:hAnsi="Times New Roman"/>
                <w:sz w:val="24"/>
                <w:szCs w:val="24"/>
                <w:vertAlign w:val="superscript"/>
              </w:rPr>
              <w:t>1</w:t>
            </w:r>
            <w:r w:rsidRPr="006942F2">
              <w:rPr>
                <w:rFonts w:ascii="Times New Roman" w:hAnsi="Times New Roman"/>
                <w:sz w:val="24"/>
                <w:szCs w:val="24"/>
              </w:rPr>
              <w:t xml:space="preserve"> (Ind. Code § 6-3.6-5)</w:t>
            </w:r>
          </w:p>
        </w:tc>
        <w:tc>
          <w:tcPr>
            <w:tcW w:w="2097" w:type="dxa"/>
          </w:tcPr>
          <w:p w14:paraId="25E219C0"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1.002</w:t>
            </w:r>
            <w:r w:rsidRPr="006942F2">
              <w:rPr>
                <w:rFonts w:ascii="Times New Roman" w:hAnsi="Times New Roman"/>
                <w:sz w:val="24"/>
                <w:szCs w:val="24"/>
              </w:rPr>
              <w:t>%</w:t>
            </w:r>
          </w:p>
        </w:tc>
        <w:tc>
          <w:tcPr>
            <w:tcW w:w="2223" w:type="dxa"/>
          </w:tcPr>
          <w:p w14:paraId="6E02B4D0"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1.002</w:t>
            </w:r>
            <w:r w:rsidRPr="006942F2">
              <w:rPr>
                <w:rFonts w:ascii="Times New Roman" w:hAnsi="Times New Roman"/>
                <w:sz w:val="24"/>
                <w:szCs w:val="24"/>
              </w:rPr>
              <w:t>%</w:t>
            </w:r>
          </w:p>
        </w:tc>
      </w:tr>
      <w:tr w:rsidR="005F444F" w:rsidRPr="006942F2" w14:paraId="12E38B9D" w14:textId="77777777" w:rsidTr="00E27FF7">
        <w:trPr>
          <w:trHeight w:val="215"/>
        </w:trPr>
        <w:tc>
          <w:tcPr>
            <w:tcW w:w="4770" w:type="dxa"/>
          </w:tcPr>
          <w:p w14:paraId="2FC4102E"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Special Purpose Rate</w:t>
            </w:r>
            <w:r w:rsidRPr="006942F2">
              <w:rPr>
                <w:rFonts w:ascii="Times New Roman" w:hAnsi="Times New Roman"/>
                <w:sz w:val="24"/>
                <w:szCs w:val="24"/>
                <w:vertAlign w:val="superscript"/>
              </w:rPr>
              <w:t>2</w:t>
            </w:r>
            <w:r w:rsidRPr="006942F2">
              <w:rPr>
                <w:rFonts w:ascii="Times New Roman" w:hAnsi="Times New Roman"/>
                <w:sz w:val="24"/>
                <w:szCs w:val="24"/>
              </w:rPr>
              <w:t xml:space="preserve"> (Ind. Code § 6-3.6-7-__)</w:t>
            </w:r>
          </w:p>
        </w:tc>
        <w:tc>
          <w:tcPr>
            <w:tcW w:w="2097" w:type="dxa"/>
          </w:tcPr>
          <w:p w14:paraId="0FAD8B1B"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c>
          <w:tcPr>
            <w:tcW w:w="2223" w:type="dxa"/>
          </w:tcPr>
          <w:p w14:paraId="0FBE4ED9"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r>
      <w:tr w:rsidR="005F444F" w:rsidRPr="006942F2" w14:paraId="10D94F83" w14:textId="77777777" w:rsidTr="00E27FF7">
        <w:trPr>
          <w:trHeight w:val="215"/>
        </w:trPr>
        <w:tc>
          <w:tcPr>
            <w:tcW w:w="4770" w:type="dxa"/>
          </w:tcPr>
          <w:p w14:paraId="3E6FC307"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 xml:space="preserve">Correctional or </w:t>
            </w:r>
          </w:p>
          <w:p w14:paraId="6099B7D6"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Rehabilitation Facilities</w:t>
            </w:r>
            <w:r w:rsidRPr="006942F2">
              <w:rPr>
                <w:rFonts w:ascii="Times New Roman" w:hAnsi="Times New Roman"/>
                <w:sz w:val="24"/>
                <w:szCs w:val="24"/>
                <w:vertAlign w:val="superscript"/>
              </w:rPr>
              <w:t>3</w:t>
            </w:r>
            <w:r w:rsidRPr="006942F2">
              <w:rPr>
                <w:rFonts w:ascii="Times New Roman" w:hAnsi="Times New Roman"/>
                <w:sz w:val="24"/>
                <w:szCs w:val="24"/>
              </w:rPr>
              <w:t xml:space="preserve"> (Ind. Code § 6-3.6-6-2.7)</w:t>
            </w:r>
          </w:p>
        </w:tc>
        <w:tc>
          <w:tcPr>
            <w:tcW w:w="2097" w:type="dxa"/>
          </w:tcPr>
          <w:p w14:paraId="042E73D9"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c>
          <w:tcPr>
            <w:tcW w:w="2223" w:type="dxa"/>
          </w:tcPr>
          <w:p w14:paraId="051EFCEA"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r>
    </w:tbl>
    <w:p w14:paraId="7BCC1866" w14:textId="77777777" w:rsidR="005F444F" w:rsidRPr="006942F2" w:rsidRDefault="005F444F" w:rsidP="005F444F">
      <w:pPr>
        <w:rPr>
          <w:rFonts w:ascii="Times New Roman" w:hAnsi="Times New Roman"/>
          <w:sz w:val="24"/>
          <w:szCs w:val="24"/>
        </w:rPr>
      </w:pPr>
    </w:p>
    <w:p w14:paraId="5FD0E9A7" w14:textId="51642B3E" w:rsidR="005F444F" w:rsidRPr="006942F2" w:rsidRDefault="005F444F" w:rsidP="0003091F">
      <w:pPr>
        <w:ind w:left="2160" w:hanging="2160"/>
        <w:rPr>
          <w:rFonts w:ascii="Times New Roman" w:hAnsi="Times New Roman"/>
          <w:b/>
          <w:sz w:val="24"/>
          <w:szCs w:val="24"/>
        </w:rPr>
      </w:pPr>
      <w:r w:rsidRPr="006942F2">
        <w:rPr>
          <w:rFonts w:ascii="Times New Roman" w:hAnsi="Times New Roman"/>
          <w:b/>
          <w:sz w:val="24"/>
          <w:szCs w:val="24"/>
        </w:rPr>
        <w:t>APPLICATION OF PROPERTY TAX RELIEF BETWEEN ALLOCATION CATEGORIES</w:t>
      </w:r>
    </w:p>
    <w:p w14:paraId="6CA09B62" w14:textId="77777777" w:rsidR="005F444F" w:rsidRPr="006942F2" w:rsidRDefault="005F444F" w:rsidP="005F444F">
      <w:pPr>
        <w:ind w:left="2160" w:hanging="2160"/>
        <w:rPr>
          <w:rFonts w:ascii="Times New Roman" w:hAnsi="Times New Roman"/>
          <w:b/>
          <w:sz w:val="24"/>
          <w:szCs w:val="24"/>
        </w:rPr>
      </w:pPr>
    </w:p>
    <w:tbl>
      <w:tblPr>
        <w:tblStyle w:val="TableGrid"/>
        <w:tblW w:w="9735" w:type="dxa"/>
        <w:tblInd w:w="-185" w:type="dxa"/>
        <w:tblLook w:val="04A0" w:firstRow="1" w:lastRow="0" w:firstColumn="1" w:lastColumn="0" w:noHBand="0" w:noVBand="1"/>
      </w:tblPr>
      <w:tblGrid>
        <w:gridCol w:w="6940"/>
        <w:gridCol w:w="1371"/>
        <w:gridCol w:w="1424"/>
      </w:tblGrid>
      <w:tr w:rsidR="005F444F" w:rsidRPr="006942F2" w14:paraId="63AFC48B" w14:textId="77777777" w:rsidTr="00E27FF7">
        <w:trPr>
          <w:trHeight w:val="836"/>
        </w:trPr>
        <w:tc>
          <w:tcPr>
            <w:tcW w:w="6940" w:type="dxa"/>
          </w:tcPr>
          <w:p w14:paraId="6875F822"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 xml:space="preserve">Property Tax Credit </w:t>
            </w:r>
          </w:p>
          <w:p w14:paraId="10BD222C"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Allocation Categories</w:t>
            </w:r>
          </w:p>
          <w:p w14:paraId="42D4A217" w14:textId="77777777" w:rsidR="005F444F" w:rsidRPr="00216AD2" w:rsidRDefault="005F444F" w:rsidP="00E27FF7">
            <w:pPr>
              <w:jc w:val="center"/>
              <w:rPr>
                <w:rFonts w:ascii="Times New Roman" w:hAnsi="Times New Roman"/>
                <w:b/>
                <w:sz w:val="24"/>
                <w:szCs w:val="24"/>
              </w:rPr>
            </w:pPr>
            <w:r w:rsidRPr="00216AD2">
              <w:rPr>
                <w:rFonts w:ascii="Times New Roman" w:hAnsi="Times New Roman"/>
                <w:b/>
                <w:sz w:val="24"/>
                <w:szCs w:val="24"/>
              </w:rPr>
              <w:t>(Ind. Code § 6-3.6-5-6)</w:t>
            </w:r>
          </w:p>
        </w:tc>
        <w:tc>
          <w:tcPr>
            <w:tcW w:w="1371" w:type="dxa"/>
          </w:tcPr>
          <w:p w14:paraId="725B175B"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 xml:space="preserve">Existing </w:t>
            </w:r>
          </w:p>
          <w:p w14:paraId="2B9BF772"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 xml:space="preserve">Percent </w:t>
            </w:r>
          </w:p>
          <w:p w14:paraId="19708DC8"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of Revenue</w:t>
            </w:r>
          </w:p>
        </w:tc>
        <w:tc>
          <w:tcPr>
            <w:tcW w:w="1424" w:type="dxa"/>
          </w:tcPr>
          <w:p w14:paraId="0DFC026F"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 xml:space="preserve">Proposed </w:t>
            </w:r>
          </w:p>
          <w:p w14:paraId="17F60876"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 xml:space="preserve">Percent </w:t>
            </w:r>
          </w:p>
          <w:p w14:paraId="54AF49D1" w14:textId="77777777" w:rsidR="005F444F" w:rsidRPr="006942F2" w:rsidRDefault="005F444F" w:rsidP="00E27FF7">
            <w:pPr>
              <w:jc w:val="center"/>
              <w:rPr>
                <w:rFonts w:ascii="Times New Roman" w:hAnsi="Times New Roman"/>
                <w:b/>
                <w:sz w:val="24"/>
                <w:szCs w:val="24"/>
                <w:vertAlign w:val="superscript"/>
              </w:rPr>
            </w:pPr>
            <w:r w:rsidRPr="006942F2">
              <w:rPr>
                <w:rFonts w:ascii="Times New Roman" w:hAnsi="Times New Roman"/>
                <w:b/>
                <w:sz w:val="24"/>
                <w:szCs w:val="24"/>
              </w:rPr>
              <w:t>of Revenue</w:t>
            </w:r>
            <w:r w:rsidRPr="006942F2">
              <w:rPr>
                <w:rFonts w:ascii="Times New Roman" w:hAnsi="Times New Roman"/>
                <w:b/>
                <w:sz w:val="24"/>
                <w:szCs w:val="24"/>
                <w:vertAlign w:val="superscript"/>
              </w:rPr>
              <w:t>4</w:t>
            </w:r>
          </w:p>
        </w:tc>
      </w:tr>
      <w:tr w:rsidR="005F444F" w:rsidRPr="006942F2" w14:paraId="63409420" w14:textId="77777777" w:rsidTr="00E27FF7">
        <w:trPr>
          <w:trHeight w:val="272"/>
        </w:trPr>
        <w:tc>
          <w:tcPr>
            <w:tcW w:w="6940" w:type="dxa"/>
          </w:tcPr>
          <w:p w14:paraId="6913FEBB"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All Property Tax Allocation Categories</w:t>
            </w:r>
          </w:p>
        </w:tc>
        <w:tc>
          <w:tcPr>
            <w:tcW w:w="1371" w:type="dxa"/>
          </w:tcPr>
          <w:p w14:paraId="3F203DE6"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94.8104</w:t>
            </w:r>
            <w:r w:rsidRPr="006942F2">
              <w:rPr>
                <w:rFonts w:ascii="Times New Roman" w:hAnsi="Times New Roman"/>
                <w:sz w:val="24"/>
                <w:szCs w:val="24"/>
              </w:rPr>
              <w:t>%</w:t>
            </w:r>
          </w:p>
        </w:tc>
        <w:tc>
          <w:tcPr>
            <w:tcW w:w="1424" w:type="dxa"/>
          </w:tcPr>
          <w:p w14:paraId="52F384F5"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95.000</w:t>
            </w:r>
            <w:r w:rsidRPr="006942F2">
              <w:rPr>
                <w:rFonts w:ascii="Times New Roman" w:hAnsi="Times New Roman"/>
                <w:sz w:val="24"/>
                <w:szCs w:val="24"/>
              </w:rPr>
              <w:t>%</w:t>
            </w:r>
          </w:p>
        </w:tc>
      </w:tr>
      <w:tr w:rsidR="005F444F" w:rsidRPr="006942F2" w14:paraId="75F2E1F6" w14:textId="77777777" w:rsidTr="00E27FF7">
        <w:trPr>
          <w:trHeight w:val="564"/>
        </w:trPr>
        <w:tc>
          <w:tcPr>
            <w:tcW w:w="6940" w:type="dxa"/>
          </w:tcPr>
          <w:p w14:paraId="3F7F89C2"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 xml:space="preserve">1% Allocation Type: </w:t>
            </w:r>
          </w:p>
          <w:p w14:paraId="1AD4B42A"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Homesteads eligible for a credit under Ind. Code § 6-1.1-20.6-7.5.</w:t>
            </w:r>
          </w:p>
        </w:tc>
        <w:tc>
          <w:tcPr>
            <w:tcW w:w="1371" w:type="dxa"/>
          </w:tcPr>
          <w:p w14:paraId="6D107D2E"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5.1896</w:t>
            </w:r>
            <w:r w:rsidRPr="006942F2">
              <w:rPr>
                <w:rFonts w:ascii="Times New Roman" w:hAnsi="Times New Roman"/>
                <w:sz w:val="24"/>
                <w:szCs w:val="24"/>
              </w:rPr>
              <w:t>%</w:t>
            </w:r>
          </w:p>
        </w:tc>
        <w:tc>
          <w:tcPr>
            <w:tcW w:w="1424" w:type="dxa"/>
          </w:tcPr>
          <w:p w14:paraId="2C9F4A51"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5.000</w:t>
            </w:r>
            <w:r w:rsidRPr="006942F2">
              <w:rPr>
                <w:rFonts w:ascii="Times New Roman" w:hAnsi="Times New Roman"/>
                <w:sz w:val="24"/>
                <w:szCs w:val="24"/>
              </w:rPr>
              <w:t>%</w:t>
            </w:r>
          </w:p>
        </w:tc>
      </w:tr>
      <w:tr w:rsidR="005F444F" w:rsidRPr="006942F2" w14:paraId="27CF184B" w14:textId="77777777" w:rsidTr="00E27FF7">
        <w:trPr>
          <w:trHeight w:val="826"/>
        </w:trPr>
        <w:tc>
          <w:tcPr>
            <w:tcW w:w="6940" w:type="dxa"/>
          </w:tcPr>
          <w:p w14:paraId="01D380B9"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 xml:space="preserve">2% Allocation Type </w:t>
            </w:r>
          </w:p>
          <w:p w14:paraId="29FDF17B"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Residential property, agricultural land, long</w:t>
            </w:r>
            <w:r>
              <w:rPr>
                <w:rFonts w:ascii="Times New Roman" w:hAnsi="Times New Roman"/>
                <w:sz w:val="24"/>
                <w:szCs w:val="24"/>
              </w:rPr>
              <w:t>-</w:t>
            </w:r>
            <w:r w:rsidRPr="006942F2">
              <w:rPr>
                <w:rFonts w:ascii="Times New Roman" w:hAnsi="Times New Roman"/>
                <w:sz w:val="24"/>
                <w:szCs w:val="24"/>
              </w:rPr>
              <w:t xml:space="preserve">term care property, and other tangible property eligible for a credit under Ind. Code § 6-1.1-20.6-7.5. </w:t>
            </w:r>
          </w:p>
        </w:tc>
        <w:tc>
          <w:tcPr>
            <w:tcW w:w="1371" w:type="dxa"/>
          </w:tcPr>
          <w:p w14:paraId="0E25BEFA"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c>
          <w:tcPr>
            <w:tcW w:w="1424" w:type="dxa"/>
          </w:tcPr>
          <w:p w14:paraId="591C2548"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r>
      <w:tr w:rsidR="005F444F" w:rsidRPr="006942F2" w14:paraId="416328F6" w14:textId="77777777" w:rsidTr="00E27FF7">
        <w:trPr>
          <w:trHeight w:val="836"/>
        </w:trPr>
        <w:tc>
          <w:tcPr>
            <w:tcW w:w="6940" w:type="dxa"/>
          </w:tcPr>
          <w:p w14:paraId="4EE3C69E"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 xml:space="preserve">3% Allocation Type </w:t>
            </w:r>
          </w:p>
          <w:p w14:paraId="13477F48"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Nonresidential real property, personal property, and other tangible property eligible for a credit under Ind. Code § 6-1.1-20.6-7.5.</w:t>
            </w:r>
          </w:p>
        </w:tc>
        <w:tc>
          <w:tcPr>
            <w:tcW w:w="1371" w:type="dxa"/>
          </w:tcPr>
          <w:p w14:paraId="38EAA581"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c>
          <w:tcPr>
            <w:tcW w:w="1424" w:type="dxa"/>
          </w:tcPr>
          <w:p w14:paraId="1CDC101F"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r>
      <w:tr w:rsidR="005F444F" w:rsidRPr="006942F2" w14:paraId="29AF221B" w14:textId="77777777" w:rsidTr="00E27FF7">
        <w:trPr>
          <w:trHeight w:val="282"/>
        </w:trPr>
        <w:tc>
          <w:tcPr>
            <w:tcW w:w="6940" w:type="dxa"/>
          </w:tcPr>
          <w:p w14:paraId="14274BF2"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Residential property, as defined in Ind. Code § 6-1.1-20.6-4.</w:t>
            </w:r>
          </w:p>
        </w:tc>
        <w:tc>
          <w:tcPr>
            <w:tcW w:w="1371" w:type="dxa"/>
          </w:tcPr>
          <w:p w14:paraId="42994FF1"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c>
          <w:tcPr>
            <w:tcW w:w="1424" w:type="dxa"/>
          </w:tcPr>
          <w:p w14:paraId="0E9C9FE7"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r>
    </w:tbl>
    <w:p w14:paraId="3EBC40B2" w14:textId="77777777" w:rsidR="005F444F" w:rsidRDefault="005F444F" w:rsidP="005F444F">
      <w:pPr>
        <w:rPr>
          <w:rFonts w:ascii="Times New Roman" w:hAnsi="Times New Roman"/>
          <w:sz w:val="24"/>
          <w:szCs w:val="24"/>
        </w:rPr>
      </w:pPr>
    </w:p>
    <w:p w14:paraId="570AD32A" w14:textId="77777777" w:rsidR="005F444F" w:rsidRPr="006942F2" w:rsidRDefault="005F444F" w:rsidP="005F444F">
      <w:pPr>
        <w:rPr>
          <w:rFonts w:ascii="Times New Roman" w:hAnsi="Times New Roman"/>
          <w:sz w:val="24"/>
          <w:szCs w:val="24"/>
        </w:rPr>
      </w:pPr>
      <w:r w:rsidRPr="006942F2">
        <w:rPr>
          <w:rFonts w:ascii="Times New Roman" w:hAnsi="Times New Roman"/>
          <w:sz w:val="24"/>
          <w:szCs w:val="24"/>
        </w:rPr>
        <w:lastRenderedPageBreak/>
        <w:t>The public safety allocation identified above includes revenue associated with an expenditure rate that was previously authorized for the purposes of funding the county’s public safety access point (“PSAP”). The revenue associated with this rate shall be directed to the PSAP prior to the distribution of the remainder of the public safety revenue.</w:t>
      </w:r>
    </w:p>
    <w:p w14:paraId="5553DEAE" w14:textId="77777777" w:rsidR="005F444F" w:rsidRPr="006942F2" w:rsidRDefault="005F444F" w:rsidP="005F444F">
      <w:pPr>
        <w:rPr>
          <w:rFonts w:ascii="Times New Roman" w:hAnsi="Times New Roman"/>
          <w:sz w:val="24"/>
          <w:szCs w:val="24"/>
        </w:rPr>
      </w:pPr>
    </w:p>
    <w:tbl>
      <w:tblPr>
        <w:tblStyle w:val="TableGrid"/>
        <w:tblW w:w="9090" w:type="dxa"/>
        <w:tblInd w:w="-5" w:type="dxa"/>
        <w:tblLook w:val="04A0" w:firstRow="1" w:lastRow="0" w:firstColumn="1" w:lastColumn="0" w:noHBand="0" w:noVBand="1"/>
      </w:tblPr>
      <w:tblGrid>
        <w:gridCol w:w="4230"/>
        <w:gridCol w:w="2340"/>
        <w:gridCol w:w="2520"/>
      </w:tblGrid>
      <w:tr w:rsidR="005F444F" w:rsidRPr="006942F2" w14:paraId="544CA19E" w14:textId="77777777" w:rsidTr="00E27FF7">
        <w:tc>
          <w:tcPr>
            <w:tcW w:w="4230" w:type="dxa"/>
            <w:vAlign w:val="bottom"/>
          </w:tcPr>
          <w:p w14:paraId="0D928CAF"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Allocation Rate Category</w:t>
            </w:r>
          </w:p>
        </w:tc>
        <w:tc>
          <w:tcPr>
            <w:tcW w:w="2340" w:type="dxa"/>
            <w:vAlign w:val="bottom"/>
          </w:tcPr>
          <w:p w14:paraId="4A2BD663"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Existing LIT Rate</w:t>
            </w:r>
          </w:p>
        </w:tc>
        <w:tc>
          <w:tcPr>
            <w:tcW w:w="2520" w:type="dxa"/>
            <w:vAlign w:val="bottom"/>
          </w:tcPr>
          <w:p w14:paraId="0ECC7261"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Proposed LIT Rate</w:t>
            </w:r>
          </w:p>
        </w:tc>
      </w:tr>
      <w:tr w:rsidR="005F444F" w:rsidRPr="006942F2" w14:paraId="61A2D602" w14:textId="77777777" w:rsidTr="00E27FF7">
        <w:tc>
          <w:tcPr>
            <w:tcW w:w="4230" w:type="dxa"/>
          </w:tcPr>
          <w:p w14:paraId="1AE114F3"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Public Safety (Ind. Code § 6-3.6-6)</w:t>
            </w:r>
          </w:p>
        </w:tc>
        <w:tc>
          <w:tcPr>
            <w:tcW w:w="2340" w:type="dxa"/>
          </w:tcPr>
          <w:p w14:paraId="47ED6CFE"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0.250</w:t>
            </w:r>
            <w:r w:rsidRPr="006942F2">
              <w:rPr>
                <w:rFonts w:ascii="Times New Roman" w:hAnsi="Times New Roman"/>
                <w:sz w:val="24"/>
                <w:szCs w:val="24"/>
              </w:rPr>
              <w:t>%</w:t>
            </w:r>
          </w:p>
        </w:tc>
        <w:tc>
          <w:tcPr>
            <w:tcW w:w="2520" w:type="dxa"/>
          </w:tcPr>
          <w:p w14:paraId="7A7B2762"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0.300</w:t>
            </w:r>
            <w:r w:rsidRPr="006942F2">
              <w:rPr>
                <w:rFonts w:ascii="Times New Roman" w:hAnsi="Times New Roman"/>
                <w:sz w:val="24"/>
                <w:szCs w:val="24"/>
              </w:rPr>
              <w:t>%</w:t>
            </w:r>
          </w:p>
        </w:tc>
      </w:tr>
    </w:tbl>
    <w:p w14:paraId="3EF8EADC" w14:textId="77777777" w:rsidR="005F444F" w:rsidRPr="006942F2" w:rsidRDefault="005F444F" w:rsidP="005F444F">
      <w:pPr>
        <w:rPr>
          <w:rFonts w:ascii="Times New Roman" w:hAnsi="Times New Roman"/>
          <w:sz w:val="24"/>
          <w:szCs w:val="24"/>
        </w:rPr>
      </w:pPr>
    </w:p>
    <w:tbl>
      <w:tblPr>
        <w:tblStyle w:val="TableGrid"/>
        <w:tblW w:w="0" w:type="auto"/>
        <w:tblLook w:val="04A0" w:firstRow="1" w:lastRow="0" w:firstColumn="1" w:lastColumn="0" w:noHBand="0" w:noVBand="1"/>
      </w:tblPr>
      <w:tblGrid>
        <w:gridCol w:w="4225"/>
        <w:gridCol w:w="2340"/>
        <w:gridCol w:w="2520"/>
      </w:tblGrid>
      <w:tr w:rsidR="005F444F" w:rsidRPr="006942F2" w14:paraId="4CE6CAF1" w14:textId="77777777" w:rsidTr="00E27FF7">
        <w:tc>
          <w:tcPr>
            <w:tcW w:w="4225" w:type="dxa"/>
          </w:tcPr>
          <w:p w14:paraId="6E56D57B"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Local Income Tax Type</w:t>
            </w:r>
          </w:p>
        </w:tc>
        <w:tc>
          <w:tcPr>
            <w:tcW w:w="2340" w:type="dxa"/>
          </w:tcPr>
          <w:p w14:paraId="1448CE8A"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Existing PSAP Rate</w:t>
            </w:r>
          </w:p>
        </w:tc>
        <w:tc>
          <w:tcPr>
            <w:tcW w:w="2520" w:type="dxa"/>
          </w:tcPr>
          <w:p w14:paraId="48284B8A"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Proposed PSAP Rate</w:t>
            </w:r>
          </w:p>
        </w:tc>
      </w:tr>
      <w:tr w:rsidR="005F444F" w:rsidRPr="006942F2" w14:paraId="55B7858A" w14:textId="77777777" w:rsidTr="00E27FF7">
        <w:tc>
          <w:tcPr>
            <w:tcW w:w="4225" w:type="dxa"/>
          </w:tcPr>
          <w:p w14:paraId="4D046946"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Public Safety Access Point Rate</w:t>
            </w:r>
          </w:p>
        </w:tc>
        <w:tc>
          <w:tcPr>
            <w:tcW w:w="2340" w:type="dxa"/>
          </w:tcPr>
          <w:p w14:paraId="3D478795"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0.000</w:t>
            </w:r>
            <w:r w:rsidRPr="006942F2">
              <w:rPr>
                <w:rFonts w:ascii="Times New Roman" w:hAnsi="Times New Roman"/>
                <w:sz w:val="24"/>
                <w:szCs w:val="24"/>
              </w:rPr>
              <w:t>%</w:t>
            </w:r>
          </w:p>
        </w:tc>
        <w:tc>
          <w:tcPr>
            <w:tcW w:w="2520" w:type="dxa"/>
          </w:tcPr>
          <w:p w14:paraId="7C294135"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0.050</w:t>
            </w:r>
            <w:r w:rsidRPr="006942F2">
              <w:rPr>
                <w:rFonts w:ascii="Times New Roman" w:hAnsi="Times New Roman"/>
                <w:sz w:val="24"/>
                <w:szCs w:val="24"/>
              </w:rPr>
              <w:t>%</w:t>
            </w:r>
          </w:p>
        </w:tc>
      </w:tr>
    </w:tbl>
    <w:p w14:paraId="7C8ADF90" w14:textId="77777777" w:rsidR="005F444F" w:rsidRPr="006942F2" w:rsidRDefault="005F444F" w:rsidP="005F444F">
      <w:pPr>
        <w:rPr>
          <w:rFonts w:ascii="Times New Roman" w:hAnsi="Times New Roman"/>
          <w:sz w:val="24"/>
          <w:szCs w:val="24"/>
        </w:rPr>
      </w:pPr>
    </w:p>
    <w:p w14:paraId="76AF8EBF" w14:textId="77777777" w:rsidR="005F444F" w:rsidRPr="006942F2" w:rsidRDefault="005F444F" w:rsidP="005F444F">
      <w:pPr>
        <w:rPr>
          <w:rFonts w:ascii="Times New Roman" w:hAnsi="Times New Roman"/>
          <w:sz w:val="24"/>
          <w:szCs w:val="24"/>
        </w:rPr>
      </w:pPr>
      <w:r w:rsidRPr="006942F2">
        <w:rPr>
          <w:rFonts w:ascii="Times New Roman" w:hAnsi="Times New Roman"/>
          <w:sz w:val="24"/>
          <w:szCs w:val="24"/>
        </w:rPr>
        <w:t xml:space="preserve">The expenditure rate includes a rate associated with a levy freeze rate previously imposed under the former local option income tax statutes. </w:t>
      </w:r>
    </w:p>
    <w:p w14:paraId="480423E8" w14:textId="77777777" w:rsidR="005F444F" w:rsidRPr="006942F2" w:rsidRDefault="005F444F" w:rsidP="005F444F">
      <w:pPr>
        <w:rPr>
          <w:rFonts w:ascii="Times New Roman" w:hAnsi="Times New Roman"/>
          <w:sz w:val="24"/>
          <w:szCs w:val="24"/>
        </w:rPr>
      </w:pPr>
    </w:p>
    <w:tbl>
      <w:tblPr>
        <w:tblStyle w:val="TableGrid"/>
        <w:tblW w:w="9360" w:type="dxa"/>
        <w:tblInd w:w="-5" w:type="dxa"/>
        <w:tblLook w:val="04A0" w:firstRow="1" w:lastRow="0" w:firstColumn="1" w:lastColumn="0" w:noHBand="0" w:noVBand="1"/>
      </w:tblPr>
      <w:tblGrid>
        <w:gridCol w:w="4230"/>
        <w:gridCol w:w="2340"/>
        <w:gridCol w:w="2790"/>
      </w:tblGrid>
      <w:tr w:rsidR="005F444F" w:rsidRPr="006942F2" w14:paraId="2AB99519" w14:textId="77777777" w:rsidTr="00E27FF7">
        <w:tc>
          <w:tcPr>
            <w:tcW w:w="4230" w:type="dxa"/>
            <w:vAlign w:val="bottom"/>
          </w:tcPr>
          <w:p w14:paraId="61E2521F"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Allocation Rate Category</w:t>
            </w:r>
          </w:p>
        </w:tc>
        <w:tc>
          <w:tcPr>
            <w:tcW w:w="2340" w:type="dxa"/>
            <w:vAlign w:val="bottom"/>
          </w:tcPr>
          <w:p w14:paraId="42755D1B"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Existing LIT Rate</w:t>
            </w:r>
          </w:p>
        </w:tc>
        <w:tc>
          <w:tcPr>
            <w:tcW w:w="2790" w:type="dxa"/>
            <w:vAlign w:val="bottom"/>
          </w:tcPr>
          <w:p w14:paraId="2B81B997"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Proposed LIT Rate</w:t>
            </w:r>
          </w:p>
        </w:tc>
      </w:tr>
      <w:tr w:rsidR="005F444F" w:rsidRPr="006942F2" w14:paraId="05D2B507" w14:textId="77777777" w:rsidTr="00E27FF7">
        <w:tc>
          <w:tcPr>
            <w:tcW w:w="4230" w:type="dxa"/>
          </w:tcPr>
          <w:p w14:paraId="2C999F40"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Certified Shares (Ind. Code § 6-3.6-6)</w:t>
            </w:r>
          </w:p>
        </w:tc>
        <w:tc>
          <w:tcPr>
            <w:tcW w:w="2340" w:type="dxa"/>
          </w:tcPr>
          <w:p w14:paraId="1C7F1273"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1.268</w:t>
            </w:r>
            <w:r w:rsidRPr="006942F2">
              <w:rPr>
                <w:rFonts w:ascii="Times New Roman" w:hAnsi="Times New Roman"/>
                <w:sz w:val="24"/>
                <w:szCs w:val="24"/>
              </w:rPr>
              <w:t>%</w:t>
            </w:r>
          </w:p>
        </w:tc>
        <w:tc>
          <w:tcPr>
            <w:tcW w:w="2790" w:type="dxa"/>
          </w:tcPr>
          <w:p w14:paraId="51F38218"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1.218</w:t>
            </w:r>
            <w:r w:rsidRPr="006942F2">
              <w:rPr>
                <w:rFonts w:ascii="Times New Roman" w:hAnsi="Times New Roman"/>
                <w:sz w:val="24"/>
                <w:szCs w:val="24"/>
              </w:rPr>
              <w:t>%</w:t>
            </w:r>
          </w:p>
        </w:tc>
      </w:tr>
    </w:tbl>
    <w:p w14:paraId="7F778D01" w14:textId="77777777" w:rsidR="005F444F" w:rsidRPr="006942F2" w:rsidRDefault="005F444F" w:rsidP="005F444F">
      <w:pPr>
        <w:rPr>
          <w:rFonts w:ascii="Times New Roman" w:hAnsi="Times New Roman"/>
          <w:sz w:val="24"/>
          <w:szCs w:val="24"/>
        </w:rPr>
      </w:pPr>
    </w:p>
    <w:p w14:paraId="286959CC" w14:textId="77777777" w:rsidR="005F444F" w:rsidRPr="006942F2" w:rsidRDefault="005F444F" w:rsidP="005F444F">
      <w:pPr>
        <w:rPr>
          <w:rFonts w:ascii="Times New Roman" w:hAnsi="Times New Roman"/>
          <w:sz w:val="24"/>
          <w:szCs w:val="24"/>
        </w:rPr>
      </w:pPr>
      <w:r w:rsidRPr="006942F2">
        <w:rPr>
          <w:rFonts w:ascii="Times New Roman" w:hAnsi="Times New Roman"/>
          <w:sz w:val="24"/>
          <w:szCs w:val="24"/>
        </w:rPr>
        <w:t>The levy freeze rate after adoption will be as follows:</w:t>
      </w:r>
    </w:p>
    <w:tbl>
      <w:tblPr>
        <w:tblStyle w:val="TableGrid"/>
        <w:tblW w:w="0" w:type="auto"/>
        <w:tblLook w:val="04A0" w:firstRow="1" w:lastRow="0" w:firstColumn="1" w:lastColumn="0" w:noHBand="0" w:noVBand="1"/>
      </w:tblPr>
      <w:tblGrid>
        <w:gridCol w:w="4225"/>
        <w:gridCol w:w="2340"/>
        <w:gridCol w:w="2785"/>
      </w:tblGrid>
      <w:tr w:rsidR="005F444F" w:rsidRPr="006942F2" w14:paraId="5EAC43CF" w14:textId="77777777" w:rsidTr="00E27FF7">
        <w:tc>
          <w:tcPr>
            <w:tcW w:w="4225" w:type="dxa"/>
          </w:tcPr>
          <w:p w14:paraId="6CA6B974"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Local Income Tax Type</w:t>
            </w:r>
          </w:p>
        </w:tc>
        <w:tc>
          <w:tcPr>
            <w:tcW w:w="2340" w:type="dxa"/>
          </w:tcPr>
          <w:p w14:paraId="532588E2"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Existing Rate</w:t>
            </w:r>
          </w:p>
        </w:tc>
        <w:tc>
          <w:tcPr>
            <w:tcW w:w="2785" w:type="dxa"/>
          </w:tcPr>
          <w:p w14:paraId="620115C0" w14:textId="77777777" w:rsidR="005F444F" w:rsidRPr="006942F2" w:rsidRDefault="005F444F" w:rsidP="00E27FF7">
            <w:pPr>
              <w:jc w:val="center"/>
              <w:rPr>
                <w:rFonts w:ascii="Times New Roman" w:hAnsi="Times New Roman"/>
                <w:b/>
                <w:sz w:val="24"/>
                <w:szCs w:val="24"/>
              </w:rPr>
            </w:pPr>
            <w:r w:rsidRPr="006942F2">
              <w:rPr>
                <w:rFonts w:ascii="Times New Roman" w:hAnsi="Times New Roman"/>
                <w:b/>
                <w:sz w:val="24"/>
                <w:szCs w:val="24"/>
              </w:rPr>
              <w:t>Proposed Rate</w:t>
            </w:r>
          </w:p>
        </w:tc>
      </w:tr>
      <w:tr w:rsidR="005F444F" w:rsidRPr="006942F2" w14:paraId="5C55F7D8" w14:textId="77777777" w:rsidTr="00E27FF7">
        <w:tc>
          <w:tcPr>
            <w:tcW w:w="4225" w:type="dxa"/>
          </w:tcPr>
          <w:p w14:paraId="11B24CF8" w14:textId="77777777" w:rsidR="005F444F" w:rsidRPr="006942F2" w:rsidRDefault="005F444F" w:rsidP="00E27FF7">
            <w:pPr>
              <w:rPr>
                <w:rFonts w:ascii="Times New Roman" w:hAnsi="Times New Roman"/>
                <w:sz w:val="24"/>
                <w:szCs w:val="24"/>
              </w:rPr>
            </w:pPr>
            <w:r w:rsidRPr="006942F2">
              <w:rPr>
                <w:rFonts w:ascii="Times New Roman" w:hAnsi="Times New Roman"/>
                <w:sz w:val="24"/>
                <w:szCs w:val="24"/>
              </w:rPr>
              <w:t>Levy Freeze Rate</w:t>
            </w:r>
          </w:p>
        </w:tc>
        <w:tc>
          <w:tcPr>
            <w:tcW w:w="2340" w:type="dxa"/>
          </w:tcPr>
          <w:p w14:paraId="003F87BC"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0.268</w:t>
            </w:r>
            <w:r w:rsidRPr="006942F2">
              <w:rPr>
                <w:rFonts w:ascii="Times New Roman" w:hAnsi="Times New Roman"/>
                <w:sz w:val="24"/>
                <w:szCs w:val="24"/>
              </w:rPr>
              <w:t>%</w:t>
            </w:r>
          </w:p>
        </w:tc>
        <w:tc>
          <w:tcPr>
            <w:tcW w:w="2785" w:type="dxa"/>
          </w:tcPr>
          <w:p w14:paraId="2046EF45" w14:textId="77777777" w:rsidR="005F444F" w:rsidRPr="006942F2" w:rsidRDefault="005F444F" w:rsidP="00E27FF7">
            <w:pPr>
              <w:jc w:val="right"/>
              <w:rPr>
                <w:rFonts w:ascii="Times New Roman" w:hAnsi="Times New Roman"/>
                <w:sz w:val="24"/>
                <w:szCs w:val="24"/>
              </w:rPr>
            </w:pPr>
            <w:r>
              <w:rPr>
                <w:rFonts w:ascii="Times New Roman" w:hAnsi="Times New Roman"/>
                <w:sz w:val="24"/>
                <w:szCs w:val="24"/>
              </w:rPr>
              <w:t>0.218</w:t>
            </w:r>
            <w:r w:rsidRPr="006942F2">
              <w:rPr>
                <w:rFonts w:ascii="Times New Roman" w:hAnsi="Times New Roman"/>
                <w:sz w:val="24"/>
                <w:szCs w:val="24"/>
              </w:rPr>
              <w:t>%</w:t>
            </w:r>
          </w:p>
        </w:tc>
      </w:tr>
    </w:tbl>
    <w:p w14:paraId="6911F029" w14:textId="77777777" w:rsidR="005F444F" w:rsidRDefault="005F444F" w:rsidP="005F444F">
      <w:pPr>
        <w:rPr>
          <w:rFonts w:ascii="Times New Roman" w:hAnsi="Times New Roman"/>
          <w:b/>
          <w:sz w:val="24"/>
          <w:szCs w:val="24"/>
        </w:rPr>
      </w:pPr>
    </w:p>
    <w:p w14:paraId="403FF707" w14:textId="258922A8" w:rsidR="006D6C1B" w:rsidRPr="006942F2" w:rsidRDefault="006D6C1B" w:rsidP="006D6C1B">
      <w:pPr>
        <w:rPr>
          <w:rFonts w:ascii="Times New Roman" w:hAnsi="Times New Roman"/>
          <w:sz w:val="24"/>
          <w:szCs w:val="24"/>
        </w:rPr>
      </w:pPr>
      <w:r w:rsidRPr="006942F2">
        <w:rPr>
          <w:rFonts w:ascii="Times New Roman" w:hAnsi="Times New Roman"/>
          <w:sz w:val="24"/>
          <w:szCs w:val="24"/>
        </w:rPr>
        <w:t xml:space="preserve">After the public hearing, the </w:t>
      </w:r>
      <w:r w:rsidR="00A83464">
        <w:rPr>
          <w:rFonts w:ascii="Times New Roman" w:hAnsi="Times New Roman"/>
          <w:sz w:val="24"/>
          <w:szCs w:val="24"/>
        </w:rPr>
        <w:t>Morgan County Council</w:t>
      </w:r>
      <w:r w:rsidRPr="006942F2">
        <w:rPr>
          <w:rFonts w:ascii="Times New Roman" w:hAnsi="Times New Roman"/>
          <w:sz w:val="24"/>
          <w:szCs w:val="24"/>
        </w:rPr>
        <w:t xml:space="preserve"> may act on the proposed</w:t>
      </w:r>
      <w:r w:rsidR="00A83464">
        <w:rPr>
          <w:rFonts w:ascii="Times New Roman" w:hAnsi="Times New Roman"/>
          <w:sz w:val="24"/>
          <w:szCs w:val="24"/>
        </w:rPr>
        <w:t xml:space="preserve"> </w:t>
      </w:r>
      <w:r w:rsidRPr="006942F2">
        <w:rPr>
          <w:rFonts w:ascii="Times New Roman" w:hAnsi="Times New Roman"/>
          <w:sz w:val="24"/>
          <w:szCs w:val="24"/>
        </w:rPr>
        <w:t xml:space="preserve">ordinance. There is no remonstrance opportunity on any action taken on the proposed ordinance. </w:t>
      </w:r>
    </w:p>
    <w:p w14:paraId="70F4A81F" w14:textId="77777777" w:rsidR="006D6C1B" w:rsidRPr="006942F2" w:rsidRDefault="006D6C1B" w:rsidP="006D6C1B">
      <w:pPr>
        <w:rPr>
          <w:rFonts w:ascii="Times New Roman" w:hAnsi="Times New Roman"/>
          <w:sz w:val="24"/>
          <w:szCs w:val="24"/>
        </w:rPr>
      </w:pPr>
    </w:p>
    <w:p w14:paraId="37EBD6FB" w14:textId="233E83E1" w:rsidR="006D6C1B" w:rsidRPr="006942F2" w:rsidRDefault="006D6C1B" w:rsidP="006D6C1B">
      <w:pPr>
        <w:rPr>
          <w:rFonts w:ascii="Times New Roman" w:hAnsi="Times New Roman"/>
          <w:sz w:val="24"/>
          <w:szCs w:val="24"/>
        </w:rPr>
      </w:pPr>
      <w:r w:rsidRPr="006942F2">
        <w:rPr>
          <w:rFonts w:ascii="Times New Roman" w:hAnsi="Times New Roman"/>
          <w:sz w:val="24"/>
          <w:szCs w:val="24"/>
        </w:rPr>
        <w:t xml:space="preserve">The public hearing identified above is the taxpayer’s opportunity to express concerns and ask </w:t>
      </w:r>
    </w:p>
    <w:p w14:paraId="6DA324D6" w14:textId="77777777" w:rsidR="006D6C1B" w:rsidRPr="006942F2" w:rsidRDefault="006D6C1B" w:rsidP="006D6C1B">
      <w:pPr>
        <w:rPr>
          <w:rFonts w:ascii="Times New Roman" w:hAnsi="Times New Roman"/>
          <w:sz w:val="24"/>
          <w:szCs w:val="24"/>
        </w:rPr>
      </w:pPr>
      <w:r w:rsidRPr="006942F2">
        <w:rPr>
          <w:rFonts w:ascii="Times New Roman" w:hAnsi="Times New Roman"/>
          <w:sz w:val="24"/>
          <w:szCs w:val="24"/>
        </w:rPr>
        <w:t>questions on the proposed ordinance.</w:t>
      </w:r>
    </w:p>
    <w:p w14:paraId="26C914CA" w14:textId="77777777" w:rsidR="006D6C1B" w:rsidRPr="006942F2" w:rsidRDefault="006D6C1B" w:rsidP="006D6C1B">
      <w:pPr>
        <w:rPr>
          <w:rFonts w:ascii="Times New Roman" w:hAnsi="Times New Roman"/>
          <w:sz w:val="24"/>
          <w:szCs w:val="24"/>
        </w:rPr>
      </w:pPr>
    </w:p>
    <w:p w14:paraId="0B2F445B" w14:textId="043D20F4" w:rsidR="006D6C1B" w:rsidRPr="006942F2" w:rsidRDefault="006D6C1B" w:rsidP="006D6C1B">
      <w:pPr>
        <w:rPr>
          <w:rFonts w:ascii="Times New Roman" w:hAnsi="Times New Roman"/>
          <w:sz w:val="24"/>
          <w:szCs w:val="24"/>
        </w:rPr>
      </w:pPr>
      <w:r w:rsidRPr="006942F2">
        <w:rPr>
          <w:rFonts w:ascii="Times New Roman" w:hAnsi="Times New Roman"/>
          <w:sz w:val="24"/>
          <w:szCs w:val="24"/>
        </w:rPr>
        <w:t xml:space="preserve">Dated this </w:t>
      </w:r>
      <w:r w:rsidR="00A83464">
        <w:rPr>
          <w:rFonts w:ascii="Times New Roman" w:hAnsi="Times New Roman"/>
          <w:sz w:val="24"/>
          <w:szCs w:val="24"/>
        </w:rPr>
        <w:t>18th</w:t>
      </w:r>
      <w:r w:rsidRPr="006942F2">
        <w:rPr>
          <w:rFonts w:ascii="Times New Roman" w:hAnsi="Times New Roman"/>
          <w:sz w:val="24"/>
          <w:szCs w:val="24"/>
        </w:rPr>
        <w:t xml:space="preserve"> day of</w:t>
      </w:r>
      <w:r w:rsidR="00A83464">
        <w:rPr>
          <w:rFonts w:ascii="Times New Roman" w:hAnsi="Times New Roman"/>
          <w:sz w:val="24"/>
          <w:szCs w:val="24"/>
        </w:rPr>
        <w:t xml:space="preserve"> February</w:t>
      </w:r>
      <w:r w:rsidRPr="006942F2">
        <w:rPr>
          <w:rFonts w:ascii="Times New Roman" w:hAnsi="Times New Roman"/>
          <w:sz w:val="24"/>
          <w:szCs w:val="24"/>
        </w:rPr>
        <w:t>, 20</w:t>
      </w:r>
      <w:r w:rsidR="004143FA" w:rsidRPr="006942F2">
        <w:rPr>
          <w:rFonts w:ascii="Times New Roman" w:hAnsi="Times New Roman"/>
          <w:sz w:val="24"/>
          <w:szCs w:val="24"/>
        </w:rPr>
        <w:t>2</w:t>
      </w:r>
      <w:r w:rsidR="00A83464">
        <w:rPr>
          <w:rFonts w:ascii="Times New Roman" w:hAnsi="Times New Roman"/>
          <w:sz w:val="24"/>
          <w:szCs w:val="24"/>
        </w:rPr>
        <w:t>2</w:t>
      </w:r>
      <w:r w:rsidRPr="006942F2">
        <w:rPr>
          <w:rFonts w:ascii="Times New Roman" w:hAnsi="Times New Roman"/>
          <w:sz w:val="24"/>
          <w:szCs w:val="24"/>
        </w:rPr>
        <w:t>.</w:t>
      </w:r>
    </w:p>
    <w:p w14:paraId="2F5E08AA" w14:textId="77777777" w:rsidR="006D6C1B" w:rsidRPr="006942F2" w:rsidRDefault="006D6C1B" w:rsidP="006D6C1B">
      <w:pPr>
        <w:rPr>
          <w:rFonts w:ascii="Times New Roman" w:hAnsi="Times New Roman"/>
          <w:b/>
          <w:sz w:val="24"/>
          <w:szCs w:val="24"/>
        </w:rPr>
      </w:pPr>
    </w:p>
    <w:p w14:paraId="457F1EAD" w14:textId="77777777" w:rsidR="006D6C1B" w:rsidRPr="006942F2" w:rsidRDefault="006D6C1B" w:rsidP="006D6C1B">
      <w:pPr>
        <w:rPr>
          <w:rFonts w:ascii="Times New Roman" w:hAnsi="Times New Roman"/>
          <w:b/>
          <w:sz w:val="24"/>
          <w:szCs w:val="24"/>
        </w:rPr>
      </w:pPr>
      <w:r w:rsidRPr="006942F2">
        <w:rPr>
          <w:rFonts w:ascii="Times New Roman" w:hAnsi="Times New Roman"/>
          <w:b/>
          <w:sz w:val="24"/>
          <w:szCs w:val="24"/>
        </w:rPr>
        <w:tab/>
      </w:r>
      <w:r w:rsidRPr="006942F2">
        <w:rPr>
          <w:rFonts w:ascii="Times New Roman" w:hAnsi="Times New Roman"/>
          <w:b/>
          <w:sz w:val="24"/>
          <w:szCs w:val="24"/>
        </w:rPr>
        <w:tab/>
      </w:r>
    </w:p>
    <w:p w14:paraId="6A42FF51" w14:textId="1903484C" w:rsidR="006D6C1B" w:rsidRPr="006942F2" w:rsidRDefault="006D6C1B" w:rsidP="00A83464">
      <w:pPr>
        <w:rPr>
          <w:rFonts w:ascii="Times New Roman" w:hAnsi="Times New Roman"/>
          <w:b/>
          <w:sz w:val="24"/>
          <w:szCs w:val="24"/>
          <w:u w:val="single"/>
        </w:rPr>
      </w:pPr>
      <w:r w:rsidRPr="006942F2">
        <w:rPr>
          <w:rFonts w:ascii="Times New Roman" w:hAnsi="Times New Roman"/>
          <w:b/>
          <w:sz w:val="24"/>
          <w:szCs w:val="24"/>
        </w:rPr>
        <w:tab/>
      </w:r>
      <w:r w:rsidRPr="006942F2">
        <w:rPr>
          <w:rFonts w:ascii="Times New Roman" w:hAnsi="Times New Roman"/>
          <w:b/>
          <w:sz w:val="24"/>
          <w:szCs w:val="24"/>
        </w:rPr>
        <w:tab/>
      </w:r>
      <w:r w:rsidRPr="006942F2">
        <w:rPr>
          <w:rFonts w:ascii="Times New Roman" w:hAnsi="Times New Roman"/>
          <w:b/>
          <w:sz w:val="24"/>
          <w:szCs w:val="24"/>
        </w:rPr>
        <w:tab/>
      </w:r>
      <w:r w:rsidRPr="006942F2">
        <w:rPr>
          <w:rFonts w:ascii="Times New Roman" w:hAnsi="Times New Roman"/>
          <w:sz w:val="24"/>
          <w:szCs w:val="24"/>
        </w:rPr>
        <w:tab/>
      </w:r>
      <w:r w:rsidRPr="006942F2">
        <w:rPr>
          <w:rFonts w:ascii="Times New Roman" w:hAnsi="Times New Roman"/>
          <w:sz w:val="24"/>
          <w:szCs w:val="24"/>
        </w:rPr>
        <w:tab/>
      </w:r>
      <w:r w:rsidRPr="006942F2">
        <w:rPr>
          <w:rFonts w:ascii="Times New Roman" w:hAnsi="Times New Roman"/>
          <w:sz w:val="24"/>
          <w:szCs w:val="24"/>
        </w:rPr>
        <w:tab/>
      </w:r>
      <w:r w:rsidR="00A83464">
        <w:rPr>
          <w:rFonts w:ascii="Times New Roman" w:hAnsi="Times New Roman"/>
          <w:sz w:val="24"/>
          <w:szCs w:val="24"/>
        </w:rPr>
        <w:t>Morgan County Council</w:t>
      </w:r>
      <w:bookmarkStart w:id="0" w:name="_GoBack"/>
      <w:bookmarkEnd w:id="0"/>
    </w:p>
    <w:p w14:paraId="32F9FC72" w14:textId="11713FA6" w:rsidR="006D6C1B" w:rsidRPr="006942F2" w:rsidRDefault="006D6C1B" w:rsidP="006D6C1B">
      <w:pPr>
        <w:pStyle w:val="ListParagraph"/>
        <w:ind w:left="360"/>
        <w:rPr>
          <w:rFonts w:ascii="Times New Roman" w:hAnsi="Times New Roman"/>
          <w:sz w:val="24"/>
          <w:szCs w:val="24"/>
        </w:rPr>
      </w:pPr>
      <w:r w:rsidRPr="006942F2">
        <w:rPr>
          <w:rFonts w:ascii="Times New Roman" w:hAnsi="Times New Roman"/>
          <w:sz w:val="24"/>
          <w:szCs w:val="24"/>
        </w:rPr>
        <w:t>.</w:t>
      </w:r>
    </w:p>
    <w:p w14:paraId="4A8DDA26" w14:textId="77777777" w:rsidR="00216AD2" w:rsidRDefault="00216AD2" w:rsidP="006D6C1B">
      <w:pPr>
        <w:jc w:val="center"/>
        <w:rPr>
          <w:rFonts w:ascii="Times New Roman" w:hAnsi="Times New Roman"/>
          <w:b/>
          <w:sz w:val="24"/>
          <w:szCs w:val="24"/>
        </w:rPr>
      </w:pPr>
    </w:p>
    <w:sectPr w:rsidR="00216AD2" w:rsidSect="00F62771">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D95D" w14:textId="77777777" w:rsidR="002626DD" w:rsidRDefault="002626DD" w:rsidP="00DD72A0">
      <w:r>
        <w:separator/>
      </w:r>
    </w:p>
  </w:endnote>
  <w:endnote w:type="continuationSeparator" w:id="0">
    <w:p w14:paraId="58AC4BA9" w14:textId="77777777" w:rsidR="002626DD" w:rsidRDefault="002626DD" w:rsidP="00DD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BBAA" w14:textId="77777777" w:rsidR="002626DD" w:rsidRDefault="002626DD" w:rsidP="00DD72A0">
      <w:r>
        <w:separator/>
      </w:r>
    </w:p>
  </w:footnote>
  <w:footnote w:type="continuationSeparator" w:id="0">
    <w:p w14:paraId="071B854D" w14:textId="77777777" w:rsidR="002626DD" w:rsidRDefault="002626DD" w:rsidP="00DD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2B26" w14:textId="77777777" w:rsidR="00846E53" w:rsidRDefault="00846E53" w:rsidP="00DD72A0">
    <w:pPr>
      <w:pStyle w:val="Header"/>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7FC4"/>
    <w:multiLevelType w:val="hybridMultilevel"/>
    <w:tmpl w:val="CA2A2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452A0C"/>
    <w:multiLevelType w:val="hybridMultilevel"/>
    <w:tmpl w:val="74FC69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C5041"/>
    <w:multiLevelType w:val="hybridMultilevel"/>
    <w:tmpl w:val="4C98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A753D"/>
    <w:multiLevelType w:val="hybridMultilevel"/>
    <w:tmpl w:val="F61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B34CC"/>
    <w:multiLevelType w:val="hybridMultilevel"/>
    <w:tmpl w:val="7472D3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E14A69"/>
    <w:multiLevelType w:val="hybridMultilevel"/>
    <w:tmpl w:val="CA86EA42"/>
    <w:lvl w:ilvl="0" w:tplc="D4961E0A">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342A5B23"/>
    <w:multiLevelType w:val="hybridMultilevel"/>
    <w:tmpl w:val="3738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42397"/>
    <w:multiLevelType w:val="hybridMultilevel"/>
    <w:tmpl w:val="CA86EA42"/>
    <w:lvl w:ilvl="0" w:tplc="D4961E0A">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497D10C6"/>
    <w:multiLevelType w:val="hybridMultilevel"/>
    <w:tmpl w:val="CA86EA42"/>
    <w:lvl w:ilvl="0" w:tplc="D4961E0A">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6542518A"/>
    <w:multiLevelType w:val="hybridMultilevel"/>
    <w:tmpl w:val="AAB4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66DC7"/>
    <w:multiLevelType w:val="hybridMultilevel"/>
    <w:tmpl w:val="723ABC9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7542A9"/>
    <w:multiLevelType w:val="hybridMultilevel"/>
    <w:tmpl w:val="D2EA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85888"/>
    <w:multiLevelType w:val="hybridMultilevel"/>
    <w:tmpl w:val="CA86EA42"/>
    <w:lvl w:ilvl="0" w:tplc="D4961E0A">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6"/>
  </w:num>
  <w:num w:numId="2">
    <w:abstractNumId w:val="5"/>
  </w:num>
  <w:num w:numId="3">
    <w:abstractNumId w:val="9"/>
  </w:num>
  <w:num w:numId="4">
    <w:abstractNumId w:val="8"/>
  </w:num>
  <w:num w:numId="5">
    <w:abstractNumId w:val="12"/>
  </w:num>
  <w:num w:numId="6">
    <w:abstractNumId w:val="3"/>
  </w:num>
  <w:num w:numId="7">
    <w:abstractNumId w:val="2"/>
  </w:num>
  <w:num w:numId="8">
    <w:abstractNumId w:val="7"/>
  </w:num>
  <w:num w:numId="9">
    <w:abstractNumId w:val="10"/>
  </w:num>
  <w:num w:numId="10">
    <w:abstractNumId w:val="11"/>
  </w:num>
  <w:num w:numId="11">
    <w:abstractNumId w:val="0"/>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2NDU0NTSzNDAxNTZX0lEKTi0uzszPAykwqgUAnNIkyCwAAAA="/>
  </w:docVars>
  <w:rsids>
    <w:rsidRoot w:val="00787406"/>
    <w:rsid w:val="0001436C"/>
    <w:rsid w:val="0003091F"/>
    <w:rsid w:val="000310B2"/>
    <w:rsid w:val="0003126F"/>
    <w:rsid w:val="00043028"/>
    <w:rsid w:val="00046619"/>
    <w:rsid w:val="00057C09"/>
    <w:rsid w:val="000811F3"/>
    <w:rsid w:val="00086D92"/>
    <w:rsid w:val="000916DB"/>
    <w:rsid w:val="000A7463"/>
    <w:rsid w:val="000C25D7"/>
    <w:rsid w:val="000C7726"/>
    <w:rsid w:val="000E1270"/>
    <w:rsid w:val="000E254C"/>
    <w:rsid w:val="001820F6"/>
    <w:rsid w:val="00187913"/>
    <w:rsid w:val="001934E4"/>
    <w:rsid w:val="001A2A57"/>
    <w:rsid w:val="001A3266"/>
    <w:rsid w:val="001B52A7"/>
    <w:rsid w:val="001C7DC9"/>
    <w:rsid w:val="001F6C64"/>
    <w:rsid w:val="00211452"/>
    <w:rsid w:val="00216AD2"/>
    <w:rsid w:val="00244E0C"/>
    <w:rsid w:val="00251CF1"/>
    <w:rsid w:val="00256C00"/>
    <w:rsid w:val="002626DD"/>
    <w:rsid w:val="00270128"/>
    <w:rsid w:val="0027095A"/>
    <w:rsid w:val="00282CD7"/>
    <w:rsid w:val="0028746A"/>
    <w:rsid w:val="002A6E44"/>
    <w:rsid w:val="002B5992"/>
    <w:rsid w:val="00360FA8"/>
    <w:rsid w:val="003848CB"/>
    <w:rsid w:val="00385DDB"/>
    <w:rsid w:val="003866A9"/>
    <w:rsid w:val="00391F5E"/>
    <w:rsid w:val="003F5E41"/>
    <w:rsid w:val="004143FA"/>
    <w:rsid w:val="00490A8D"/>
    <w:rsid w:val="00541EF7"/>
    <w:rsid w:val="00543F09"/>
    <w:rsid w:val="00545839"/>
    <w:rsid w:val="00550D0D"/>
    <w:rsid w:val="00567A59"/>
    <w:rsid w:val="005A2062"/>
    <w:rsid w:val="005B14F6"/>
    <w:rsid w:val="005B2680"/>
    <w:rsid w:val="005B2849"/>
    <w:rsid w:val="005F444F"/>
    <w:rsid w:val="00600617"/>
    <w:rsid w:val="00615B6C"/>
    <w:rsid w:val="0062100D"/>
    <w:rsid w:val="00623C30"/>
    <w:rsid w:val="006942F2"/>
    <w:rsid w:val="00694D66"/>
    <w:rsid w:val="006D6C1B"/>
    <w:rsid w:val="006E41E2"/>
    <w:rsid w:val="00701AEA"/>
    <w:rsid w:val="00732BB7"/>
    <w:rsid w:val="00743CED"/>
    <w:rsid w:val="00747581"/>
    <w:rsid w:val="0076469B"/>
    <w:rsid w:val="007657A7"/>
    <w:rsid w:val="00766341"/>
    <w:rsid w:val="00781AED"/>
    <w:rsid w:val="00787406"/>
    <w:rsid w:val="007C1745"/>
    <w:rsid w:val="007C7282"/>
    <w:rsid w:val="007C7765"/>
    <w:rsid w:val="007E099F"/>
    <w:rsid w:val="007E2BAE"/>
    <w:rsid w:val="007E7B4E"/>
    <w:rsid w:val="00806446"/>
    <w:rsid w:val="008309EB"/>
    <w:rsid w:val="00846E53"/>
    <w:rsid w:val="008517F8"/>
    <w:rsid w:val="008B6DF1"/>
    <w:rsid w:val="008C5C6A"/>
    <w:rsid w:val="008D41CA"/>
    <w:rsid w:val="008E1BD4"/>
    <w:rsid w:val="008F109D"/>
    <w:rsid w:val="009015F7"/>
    <w:rsid w:val="00921A8F"/>
    <w:rsid w:val="00A1219D"/>
    <w:rsid w:val="00A212AA"/>
    <w:rsid w:val="00A8315E"/>
    <w:rsid w:val="00A83464"/>
    <w:rsid w:val="00A83838"/>
    <w:rsid w:val="00A90721"/>
    <w:rsid w:val="00AA6CB5"/>
    <w:rsid w:val="00AF7CE6"/>
    <w:rsid w:val="00B12ECE"/>
    <w:rsid w:val="00B44E66"/>
    <w:rsid w:val="00B71FD8"/>
    <w:rsid w:val="00B8426E"/>
    <w:rsid w:val="00B956C2"/>
    <w:rsid w:val="00BA4964"/>
    <w:rsid w:val="00BA67CB"/>
    <w:rsid w:val="00BC4DAE"/>
    <w:rsid w:val="00BD7B86"/>
    <w:rsid w:val="00C008B2"/>
    <w:rsid w:val="00C253B2"/>
    <w:rsid w:val="00C30F18"/>
    <w:rsid w:val="00C57F60"/>
    <w:rsid w:val="00C74D6F"/>
    <w:rsid w:val="00CE2B22"/>
    <w:rsid w:val="00CF0B52"/>
    <w:rsid w:val="00D2155C"/>
    <w:rsid w:val="00D243B1"/>
    <w:rsid w:val="00D30FDC"/>
    <w:rsid w:val="00D56E4D"/>
    <w:rsid w:val="00D576CA"/>
    <w:rsid w:val="00D61457"/>
    <w:rsid w:val="00D72AAD"/>
    <w:rsid w:val="00DC5B56"/>
    <w:rsid w:val="00DC7F48"/>
    <w:rsid w:val="00DD72A0"/>
    <w:rsid w:val="00E032F2"/>
    <w:rsid w:val="00E15F17"/>
    <w:rsid w:val="00E202B5"/>
    <w:rsid w:val="00E33D35"/>
    <w:rsid w:val="00E346F1"/>
    <w:rsid w:val="00E60F49"/>
    <w:rsid w:val="00E72C8B"/>
    <w:rsid w:val="00E94F1A"/>
    <w:rsid w:val="00EB3401"/>
    <w:rsid w:val="00EB70F9"/>
    <w:rsid w:val="00EE6221"/>
    <w:rsid w:val="00F01C65"/>
    <w:rsid w:val="00F108AD"/>
    <w:rsid w:val="00F37C29"/>
    <w:rsid w:val="00F62771"/>
    <w:rsid w:val="00F62C6E"/>
    <w:rsid w:val="00FC0269"/>
    <w:rsid w:val="00FE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61EF"/>
  <w15:chartTrackingRefBased/>
  <w15:docId w15:val="{45E0AF10-104F-4C3B-B714-AD5234C7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87406"/>
  </w:style>
  <w:style w:type="character" w:customStyle="1" w:styleId="underline">
    <w:name w:val="underline"/>
    <w:rsid w:val="00787406"/>
  </w:style>
  <w:style w:type="table" w:styleId="TableGrid">
    <w:name w:val="Table Grid"/>
    <w:basedOn w:val="TableNormal"/>
    <w:uiPriority w:val="39"/>
    <w:rsid w:val="0018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6C2"/>
    <w:pPr>
      <w:ind w:left="720"/>
      <w:contextualSpacing/>
    </w:pPr>
  </w:style>
  <w:style w:type="paragraph" w:styleId="BalloonText">
    <w:name w:val="Balloon Text"/>
    <w:basedOn w:val="Normal"/>
    <w:link w:val="BalloonTextChar"/>
    <w:uiPriority w:val="99"/>
    <w:semiHidden/>
    <w:unhideWhenUsed/>
    <w:rsid w:val="00851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F8"/>
    <w:rPr>
      <w:rFonts w:ascii="Segoe UI" w:hAnsi="Segoe UI" w:cs="Segoe UI"/>
      <w:sz w:val="18"/>
      <w:szCs w:val="18"/>
    </w:rPr>
  </w:style>
  <w:style w:type="character" w:styleId="CommentReference">
    <w:name w:val="annotation reference"/>
    <w:basedOn w:val="DefaultParagraphFont"/>
    <w:uiPriority w:val="99"/>
    <w:semiHidden/>
    <w:unhideWhenUsed/>
    <w:rsid w:val="00360FA8"/>
    <w:rPr>
      <w:sz w:val="16"/>
      <w:szCs w:val="16"/>
    </w:rPr>
  </w:style>
  <w:style w:type="paragraph" w:styleId="CommentText">
    <w:name w:val="annotation text"/>
    <w:basedOn w:val="Normal"/>
    <w:link w:val="CommentTextChar"/>
    <w:uiPriority w:val="99"/>
    <w:semiHidden/>
    <w:unhideWhenUsed/>
    <w:rsid w:val="00360FA8"/>
    <w:rPr>
      <w:sz w:val="20"/>
      <w:szCs w:val="20"/>
    </w:rPr>
  </w:style>
  <w:style w:type="character" w:customStyle="1" w:styleId="CommentTextChar">
    <w:name w:val="Comment Text Char"/>
    <w:basedOn w:val="DefaultParagraphFont"/>
    <w:link w:val="CommentText"/>
    <w:uiPriority w:val="99"/>
    <w:semiHidden/>
    <w:rsid w:val="00360FA8"/>
  </w:style>
  <w:style w:type="paragraph" w:styleId="CommentSubject">
    <w:name w:val="annotation subject"/>
    <w:basedOn w:val="CommentText"/>
    <w:next w:val="CommentText"/>
    <w:link w:val="CommentSubjectChar"/>
    <w:uiPriority w:val="99"/>
    <w:semiHidden/>
    <w:unhideWhenUsed/>
    <w:rsid w:val="00360FA8"/>
    <w:rPr>
      <w:b/>
      <w:bCs/>
    </w:rPr>
  </w:style>
  <w:style w:type="character" w:customStyle="1" w:styleId="CommentSubjectChar">
    <w:name w:val="Comment Subject Char"/>
    <w:basedOn w:val="CommentTextChar"/>
    <w:link w:val="CommentSubject"/>
    <w:uiPriority w:val="99"/>
    <w:semiHidden/>
    <w:rsid w:val="00360FA8"/>
    <w:rPr>
      <w:b/>
      <w:bCs/>
    </w:rPr>
  </w:style>
  <w:style w:type="paragraph" w:styleId="Header">
    <w:name w:val="header"/>
    <w:basedOn w:val="Normal"/>
    <w:link w:val="HeaderChar"/>
    <w:unhideWhenUsed/>
    <w:rsid w:val="00DD72A0"/>
    <w:pPr>
      <w:tabs>
        <w:tab w:val="center" w:pos="4680"/>
        <w:tab w:val="right" w:pos="9360"/>
      </w:tabs>
    </w:pPr>
  </w:style>
  <w:style w:type="character" w:customStyle="1" w:styleId="HeaderChar">
    <w:name w:val="Header Char"/>
    <w:basedOn w:val="DefaultParagraphFont"/>
    <w:link w:val="Header"/>
    <w:uiPriority w:val="99"/>
    <w:rsid w:val="00DD72A0"/>
    <w:rPr>
      <w:sz w:val="22"/>
      <w:szCs w:val="22"/>
    </w:rPr>
  </w:style>
  <w:style w:type="paragraph" w:styleId="Footer">
    <w:name w:val="footer"/>
    <w:basedOn w:val="Normal"/>
    <w:link w:val="FooterChar"/>
    <w:uiPriority w:val="99"/>
    <w:unhideWhenUsed/>
    <w:rsid w:val="00DD72A0"/>
    <w:pPr>
      <w:tabs>
        <w:tab w:val="center" w:pos="4680"/>
        <w:tab w:val="right" w:pos="9360"/>
      </w:tabs>
    </w:pPr>
  </w:style>
  <w:style w:type="character" w:customStyle="1" w:styleId="FooterChar">
    <w:name w:val="Footer Char"/>
    <w:basedOn w:val="DefaultParagraphFont"/>
    <w:link w:val="Footer"/>
    <w:uiPriority w:val="99"/>
    <w:rsid w:val="00DD72A0"/>
    <w:rPr>
      <w:sz w:val="22"/>
      <w:szCs w:val="22"/>
    </w:rPr>
  </w:style>
  <w:style w:type="character" w:styleId="Hyperlink">
    <w:name w:val="Hyperlink"/>
    <w:basedOn w:val="DefaultParagraphFont"/>
    <w:uiPriority w:val="99"/>
    <w:unhideWhenUsed/>
    <w:rsid w:val="00385DDB"/>
    <w:rPr>
      <w:color w:val="0563C1" w:themeColor="hyperlink"/>
      <w:u w:val="single"/>
    </w:rPr>
  </w:style>
  <w:style w:type="character" w:styleId="FollowedHyperlink">
    <w:name w:val="FollowedHyperlink"/>
    <w:basedOn w:val="DefaultParagraphFont"/>
    <w:uiPriority w:val="99"/>
    <w:semiHidden/>
    <w:unhideWhenUsed/>
    <w:rsid w:val="00623C30"/>
    <w:rPr>
      <w:color w:val="954F72" w:themeColor="followedHyperlink"/>
      <w:u w:val="single"/>
    </w:rPr>
  </w:style>
  <w:style w:type="paragraph" w:styleId="Revision">
    <w:name w:val="Revision"/>
    <w:hidden/>
    <w:uiPriority w:val="99"/>
    <w:semiHidden/>
    <w:rsid w:val="00C57F60"/>
    <w:rPr>
      <w:sz w:val="22"/>
      <w:szCs w:val="22"/>
    </w:rPr>
  </w:style>
  <w:style w:type="character" w:styleId="UnresolvedMention">
    <w:name w:val="Unresolved Mention"/>
    <w:basedOn w:val="DefaultParagraphFont"/>
    <w:uiPriority w:val="99"/>
    <w:semiHidden/>
    <w:unhideWhenUsed/>
    <w:rsid w:val="00081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65336">
      <w:bodyDiv w:val="1"/>
      <w:marLeft w:val="0"/>
      <w:marRight w:val="0"/>
      <w:marTop w:val="0"/>
      <w:marBottom w:val="0"/>
      <w:divBdr>
        <w:top w:val="none" w:sz="0" w:space="0" w:color="auto"/>
        <w:left w:val="none" w:sz="0" w:space="0" w:color="auto"/>
        <w:bottom w:val="none" w:sz="0" w:space="0" w:color="auto"/>
        <w:right w:val="none" w:sz="0" w:space="0" w:color="auto"/>
      </w:divBdr>
    </w:div>
    <w:div w:id="694036572">
      <w:bodyDiv w:val="1"/>
      <w:marLeft w:val="0"/>
      <w:marRight w:val="0"/>
      <w:marTop w:val="0"/>
      <w:marBottom w:val="0"/>
      <w:divBdr>
        <w:top w:val="none" w:sz="0" w:space="0" w:color="auto"/>
        <w:left w:val="none" w:sz="0" w:space="0" w:color="auto"/>
        <w:bottom w:val="none" w:sz="0" w:space="0" w:color="auto"/>
        <w:right w:val="none" w:sz="0" w:space="0" w:color="auto"/>
      </w:divBdr>
    </w:div>
    <w:div w:id="1882592950">
      <w:bodyDiv w:val="1"/>
      <w:marLeft w:val="0"/>
      <w:marRight w:val="0"/>
      <w:marTop w:val="0"/>
      <w:marBottom w:val="0"/>
      <w:divBdr>
        <w:top w:val="none" w:sz="0" w:space="0" w:color="auto"/>
        <w:left w:val="none" w:sz="0" w:space="0" w:color="auto"/>
        <w:bottom w:val="none" w:sz="0" w:space="0" w:color="auto"/>
        <w:right w:val="none" w:sz="0" w:space="0" w:color="auto"/>
      </w:divBdr>
    </w:div>
    <w:div w:id="21446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2" ma:contentTypeDescription="Create a new document." ma:contentTypeScope="" ma:versionID="4ac203df0dd849eddfe2bb2893340a1d">
  <xsd:schema xmlns:xsd="http://www.w3.org/2001/XMLSchema" xmlns:xs="http://www.w3.org/2001/XMLSchema" xmlns:p="http://schemas.microsoft.com/office/2006/metadata/properties" xmlns:ns2="4498fcad-af25-402b-ba78-edbcef40e3af" targetNamespace="http://schemas.microsoft.com/office/2006/metadata/properties" ma:root="true" ma:fieldsID="45f7c8b9b99d8f4cd6344bace67f8315" ns2:_="">
    <xsd:import namespace="4498fcad-af25-402b-ba78-edbcef40e3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C47F-BFA1-48AF-981D-DF3489ADAD94}">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4498fcad-af25-402b-ba78-edbcef40e3af"/>
    <ds:schemaRef ds:uri="http://purl.org/dc/terms/"/>
    <ds:schemaRef ds:uri="http://purl.org/dc/elements/1.1/"/>
  </ds:schemaRefs>
</ds:datastoreItem>
</file>

<file path=customXml/itemProps2.xml><?xml version="1.0" encoding="utf-8"?>
<ds:datastoreItem xmlns:ds="http://schemas.openxmlformats.org/officeDocument/2006/customXml" ds:itemID="{5FF00D8A-4C21-49EF-8405-4456A0921C51}">
  <ds:schemaRefs>
    <ds:schemaRef ds:uri="http://schemas.microsoft.com/sharepoint/v3/contenttype/forms"/>
  </ds:schemaRefs>
</ds:datastoreItem>
</file>

<file path=customXml/itemProps3.xml><?xml version="1.0" encoding="utf-8"?>
<ds:datastoreItem xmlns:ds="http://schemas.openxmlformats.org/officeDocument/2006/customXml" ds:itemID="{E718A238-BF08-4AC3-8041-5A7FC268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C4309-8F5F-42FC-8ECD-0401F2DF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Schaafsma, Courtney L</dc:creator>
  <cp:keywords/>
  <dc:description/>
  <cp:lastModifiedBy>Dan Bastin</cp:lastModifiedBy>
  <cp:revision>2</cp:revision>
  <dcterms:created xsi:type="dcterms:W3CDTF">2022-02-17T21:41:00Z</dcterms:created>
  <dcterms:modified xsi:type="dcterms:W3CDTF">2022-02-17T21:41:00Z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ies>
</file>